
<file path=[Content_Types].xml><?xml version="1.0" encoding="utf-8"?>
<Types xmlns="http://schemas.openxmlformats.org/package/2006/content-types">
  <Default Extension="tiff" ContentType="image/tif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79539D">
      <w:pPr>
        <w:adjustRightInd w:val="0"/>
        <w:snapToGrid w:val="0"/>
        <w:spacing w:after="0" w:line="360" w:lineRule="auto"/>
        <w:jc w:val="both"/>
        <w:rPr>
          <w:rFonts w:ascii="Times New Roman" w:hAnsi="Times New Roman" w:eastAsia="宋体"/>
          <w:sz w:val="24"/>
        </w:rPr>
      </w:pPr>
      <w:r>
        <w:rPr>
          <w:rFonts w:ascii="Times New Roman" w:hAnsi="Times New Roman" w:eastAsia="宋体"/>
          <w:sz w:val="24"/>
        </w:rPr>
        <w:drawing>
          <wp:inline distT="0" distB="0" distL="0" distR="0">
            <wp:extent cx="5274310" cy="1396365"/>
            <wp:effectExtent l="0" t="0" r="2540" b="0"/>
            <wp:docPr id="6294975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497576" name="图片 1"/>
                    <pic:cNvPicPr>
                      <a:picLocks noChangeAspect="1"/>
                    </pic:cNvPicPr>
                  </pic:nvPicPr>
                  <pic:blipFill>
                    <a:blip r:embed="rId6"/>
                    <a:stretch>
                      <a:fillRect/>
                    </a:stretch>
                  </pic:blipFill>
                  <pic:spPr>
                    <a:xfrm>
                      <a:off x="0" y="0"/>
                      <a:ext cx="5274310" cy="1396365"/>
                    </a:xfrm>
                    <a:prstGeom prst="rect">
                      <a:avLst/>
                    </a:prstGeom>
                  </pic:spPr>
                </pic:pic>
              </a:graphicData>
            </a:graphic>
          </wp:inline>
        </w:drawing>
      </w:r>
    </w:p>
    <w:p w14:paraId="6F899C07">
      <w:pPr>
        <w:adjustRightInd w:val="0"/>
        <w:snapToGrid w:val="0"/>
        <w:spacing w:after="0" w:line="360" w:lineRule="auto"/>
        <w:jc w:val="both"/>
        <w:rPr>
          <w:rFonts w:ascii="Times New Roman" w:hAnsi="Times New Roman" w:eastAsia="宋体"/>
          <w:sz w:val="21"/>
          <w:szCs w:val="21"/>
        </w:rPr>
      </w:pPr>
      <w:r>
        <w:rPr>
          <w:rFonts w:hint="eastAsia" w:ascii="Times New Roman" w:hAnsi="Times New Roman" w:eastAsia="宋体"/>
          <w:b/>
          <w:bCs/>
          <w:sz w:val="21"/>
          <w:szCs w:val="21"/>
        </w:rPr>
        <w:t>Fig.</w:t>
      </w:r>
      <w:r>
        <w:rPr>
          <w:rFonts w:hint="eastAsia" w:ascii="Times New Roman" w:hAnsi="Times New Roman" w:eastAsia="宋体"/>
          <w:b/>
          <w:bCs/>
          <w:sz w:val="21"/>
          <w:szCs w:val="21"/>
          <w:lang w:val="en-US" w:eastAsia="zh-CN"/>
        </w:rPr>
        <w:t>1</w:t>
      </w:r>
      <w:r>
        <w:rPr>
          <w:rFonts w:hint="eastAsia" w:ascii="Times New Roman" w:hAnsi="Times New Roman" w:eastAsia="宋体"/>
          <w:b/>
          <w:bCs/>
          <w:sz w:val="21"/>
          <w:szCs w:val="21"/>
        </w:rPr>
        <w:t xml:space="preserve">. </w:t>
      </w:r>
      <w:r>
        <w:rPr>
          <w:rFonts w:hint="eastAsia" w:ascii="Times New Roman" w:hAnsi="Times New Roman" w:eastAsia="宋体"/>
          <w:i/>
          <w:iCs/>
          <w:sz w:val="21"/>
          <w:szCs w:val="21"/>
        </w:rPr>
        <w:t>IGF1</w:t>
      </w:r>
      <w:r>
        <w:rPr>
          <w:rFonts w:hint="eastAsia" w:ascii="Times New Roman" w:hAnsi="Times New Roman" w:eastAsia="宋体"/>
          <w:sz w:val="21"/>
          <w:szCs w:val="21"/>
        </w:rPr>
        <w:t xml:space="preserve"> promotes proliferation of Leydig cells. A-B. qRT-PCR and Western blot were performed to detect the expression of proliferation marker genes and proteins after </w:t>
      </w:r>
      <w:r>
        <w:rPr>
          <w:rFonts w:hint="eastAsia" w:ascii="Times New Roman" w:hAnsi="Times New Roman" w:eastAsia="宋体"/>
          <w:i/>
          <w:iCs/>
          <w:sz w:val="21"/>
          <w:szCs w:val="21"/>
        </w:rPr>
        <w:t>IGF1</w:t>
      </w:r>
      <w:r>
        <w:rPr>
          <w:rFonts w:hint="eastAsia" w:ascii="Times New Roman" w:hAnsi="Times New Roman" w:eastAsia="宋体"/>
          <w:sz w:val="21"/>
          <w:szCs w:val="21"/>
        </w:rPr>
        <w:t xml:space="preserve"> overexpression or inhibition. C. EdU assays were performed to assess the effect of </w:t>
      </w:r>
      <w:r>
        <w:rPr>
          <w:rFonts w:hint="eastAsia" w:ascii="Times New Roman" w:hAnsi="Times New Roman" w:eastAsia="宋体"/>
          <w:i/>
          <w:iCs/>
          <w:sz w:val="21"/>
          <w:szCs w:val="21"/>
        </w:rPr>
        <w:t>IGF1</w:t>
      </w:r>
      <w:r>
        <w:rPr>
          <w:rFonts w:hint="eastAsia" w:ascii="Times New Roman" w:hAnsi="Times New Roman" w:eastAsia="宋体"/>
          <w:sz w:val="21"/>
          <w:szCs w:val="21"/>
        </w:rPr>
        <w:t xml:space="preserve"> knockdown and over-expressing on Leydig cell proliferation.</w:t>
      </w:r>
    </w:p>
    <w:p w14:paraId="6AD70963">
      <w:pPr>
        <w:adjustRightInd w:val="0"/>
        <w:snapToGrid w:val="0"/>
        <w:spacing w:after="0" w:line="360" w:lineRule="auto"/>
        <w:jc w:val="both"/>
        <w:rPr>
          <w:rFonts w:ascii="Times New Roman" w:hAnsi="Times New Roman" w:eastAsia="宋体" w:cs="Times New Roman"/>
          <w:sz w:val="24"/>
        </w:rPr>
      </w:pPr>
      <w:bookmarkStart w:id="0" w:name="OLE_LINK1"/>
      <w:r>
        <w:rPr>
          <w:rFonts w:hint="eastAsia" w:ascii="Times New Roman" w:hAnsi="Times New Roman" w:eastAsia="宋体" w:cs="Times New Roman"/>
          <w:sz w:val="24"/>
        </w:rPr>
        <w:drawing>
          <wp:inline distT="0" distB="0" distL="0" distR="0">
            <wp:extent cx="5274310" cy="4910455"/>
            <wp:effectExtent l="0" t="0" r="2540" b="4445"/>
            <wp:docPr id="140698040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980402" name="图片 2"/>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74310" cy="4910455"/>
                    </a:xfrm>
                    <a:prstGeom prst="rect">
                      <a:avLst/>
                    </a:prstGeom>
                  </pic:spPr>
                </pic:pic>
              </a:graphicData>
            </a:graphic>
          </wp:inline>
        </w:drawing>
      </w:r>
    </w:p>
    <w:p w14:paraId="569014B9">
      <w:pPr>
        <w:adjustRightInd w:val="0"/>
        <w:snapToGrid w:val="0"/>
        <w:spacing w:after="0" w:line="360" w:lineRule="auto"/>
        <w:jc w:val="both"/>
        <w:rPr>
          <w:rFonts w:ascii="Times New Roman" w:hAnsi="Times New Roman" w:eastAsia="宋体" w:cs="Times New Roman"/>
          <w:sz w:val="21"/>
          <w:szCs w:val="21"/>
        </w:rPr>
      </w:pPr>
      <w:r>
        <w:rPr>
          <w:rFonts w:hint="eastAsia" w:ascii="Times New Roman" w:hAnsi="Times New Roman" w:eastAsia="宋体" w:cs="Times New Roman"/>
          <w:b/>
          <w:bCs/>
          <w:sz w:val="21"/>
          <w:szCs w:val="21"/>
        </w:rPr>
        <w:t>Fig.2.</w:t>
      </w:r>
      <w:r>
        <w:rPr>
          <w:rFonts w:hint="eastAsia" w:ascii="Times New Roman" w:hAnsi="Times New Roman" w:eastAsia="宋体" w:cs="Times New Roman"/>
          <w:sz w:val="21"/>
          <w:szCs w:val="21"/>
        </w:rPr>
        <w:t xml:space="preserve"> </w:t>
      </w:r>
      <w:bookmarkStart w:id="1" w:name="OLE_LINK6"/>
      <w:r>
        <w:rPr>
          <w:rFonts w:hint="eastAsia" w:ascii="Times New Roman" w:hAnsi="Times New Roman" w:eastAsia="宋体" w:cs="Times New Roman"/>
          <w:sz w:val="21"/>
          <w:szCs w:val="21"/>
        </w:rPr>
        <w:t>Expression profile of DEGs and DEPs in different groups of Leydig cells. A-B. Volcano plot of DEGs. Red dots represent upregulated DEGs, green dots represent downregulated DEGs, and black dots represent no significant change between groups. C. Principal component analysis of all samples. Each point represents a sample, and groups are distinguished by different colors. D. Heat map of the DEGs clustering analysis. E-F. Volcano plot of DEPs. Red dots represent upregulated DEPs, green dots represent downregulated DEPs, and black dots represent no significant change between groups. G. Principal component analysis of all samples. Each point represents a sample, and groups are distinguished by different colors. H. Heat map of the DEPs clustering analysis.</w:t>
      </w:r>
    </w:p>
    <w:bookmarkEnd w:id="0"/>
    <w:bookmarkEnd w:id="1"/>
    <w:p w14:paraId="130CC047">
      <w:pPr>
        <w:adjustRightInd w:val="0"/>
        <w:snapToGrid w:val="0"/>
        <w:spacing w:after="0" w:line="360" w:lineRule="auto"/>
        <w:jc w:val="both"/>
        <w:rPr>
          <w:rFonts w:ascii="Times New Roman" w:hAnsi="Times New Roman" w:eastAsia="宋体"/>
          <w:sz w:val="24"/>
        </w:rPr>
      </w:pPr>
      <w:r>
        <w:rPr>
          <w:rFonts w:ascii="Times New Roman" w:hAnsi="Times New Roman" w:eastAsia="宋体"/>
          <w:sz w:val="24"/>
        </w:rPr>
        <w:drawing>
          <wp:inline distT="0" distB="0" distL="0" distR="0">
            <wp:extent cx="5274310" cy="6660515"/>
            <wp:effectExtent l="0" t="0" r="2540" b="6985"/>
            <wp:docPr id="34309600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096005" name="图片 1"/>
                    <pic:cNvPicPr>
                      <a:picLocks noChangeAspect="1"/>
                    </pic:cNvPicPr>
                  </pic:nvPicPr>
                  <pic:blipFill>
                    <a:blip r:embed="rId8"/>
                    <a:stretch>
                      <a:fillRect/>
                    </a:stretch>
                  </pic:blipFill>
                  <pic:spPr>
                    <a:xfrm>
                      <a:off x="0" y="0"/>
                      <a:ext cx="5274310" cy="6660515"/>
                    </a:xfrm>
                    <a:prstGeom prst="rect">
                      <a:avLst/>
                    </a:prstGeom>
                  </pic:spPr>
                </pic:pic>
              </a:graphicData>
            </a:graphic>
          </wp:inline>
        </w:drawing>
      </w:r>
    </w:p>
    <w:p w14:paraId="6B390D3A">
      <w:pPr>
        <w:adjustRightInd w:val="0"/>
        <w:snapToGrid w:val="0"/>
        <w:spacing w:after="0" w:line="360" w:lineRule="auto"/>
        <w:jc w:val="both"/>
        <w:rPr>
          <w:rFonts w:ascii="Times New Roman" w:hAnsi="Times New Roman" w:eastAsia="宋体"/>
          <w:sz w:val="21"/>
          <w:szCs w:val="21"/>
        </w:rPr>
      </w:pPr>
      <w:r>
        <w:rPr>
          <w:rFonts w:hint="eastAsia" w:ascii="Times New Roman" w:hAnsi="Times New Roman" w:eastAsia="宋体"/>
          <w:b/>
          <w:bCs/>
          <w:sz w:val="21"/>
          <w:szCs w:val="21"/>
        </w:rPr>
        <w:t>Fig.3.</w:t>
      </w:r>
      <w:r>
        <w:rPr>
          <w:rFonts w:hint="eastAsia" w:ascii="Times New Roman" w:hAnsi="Times New Roman" w:eastAsia="宋体"/>
          <w:sz w:val="21"/>
          <w:szCs w:val="21"/>
        </w:rPr>
        <w:t xml:space="preserve"> Functional enrichment analysis (KEGG and GSEA) of differentially expressed genes (DEGs). A-B. A and B represent the top five KEGG pathway enrichment circles with the smallest q-values in KEGG_level_1 for the overexpression group and the silencing group, respectively. From outer to inner rings: KEGG level-1 categories (colors indicate different classifications); bar length represents the number of background genes in each category and color intensity reflects q-value (red = more significant); proportions of upregulated (light red) and downregulated (light blue) genes, with exact values shown below. C-F.</w:t>
      </w:r>
      <w:r>
        <w:rPr>
          <w:rFonts w:hint="eastAsia"/>
        </w:rPr>
        <w:t xml:space="preserve"> </w:t>
      </w:r>
      <w:r>
        <w:rPr>
          <w:rFonts w:hint="eastAsia" w:ascii="Times New Roman" w:hAnsi="Times New Roman" w:eastAsia="宋体"/>
          <w:sz w:val="21"/>
          <w:szCs w:val="21"/>
        </w:rPr>
        <w:t>GSEA enrichment result maps. C. Cell cycle enrichment diagram. D, E. PI3K-AKT enrichment diagram. F. Protein digestion and absorption enrichment diagram.</w:t>
      </w:r>
    </w:p>
    <w:p w14:paraId="38659CC7">
      <w:pPr>
        <w:adjustRightInd w:val="0"/>
        <w:snapToGrid w:val="0"/>
        <w:spacing w:after="0" w:line="360" w:lineRule="auto"/>
        <w:jc w:val="both"/>
        <w:rPr>
          <w:rFonts w:ascii="Times New Roman" w:hAnsi="Times New Roman" w:eastAsia="宋体"/>
          <w:sz w:val="24"/>
        </w:rPr>
      </w:pPr>
      <w:r>
        <w:rPr>
          <w:rFonts w:ascii="Times New Roman" w:hAnsi="Times New Roman" w:eastAsia="宋体"/>
          <w:sz w:val="24"/>
        </w:rPr>
        <w:drawing>
          <wp:inline distT="0" distB="0" distL="0" distR="0">
            <wp:extent cx="5274310" cy="4489450"/>
            <wp:effectExtent l="0" t="0" r="2540" b="6350"/>
            <wp:docPr id="1257961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9616" name="图片 2"/>
                    <pic:cNvPicPr>
                      <a:picLocks noChangeAspect="1"/>
                    </pic:cNvPicPr>
                  </pic:nvPicPr>
                  <pic:blipFill>
                    <a:blip r:embed="rId9"/>
                    <a:stretch>
                      <a:fillRect/>
                    </a:stretch>
                  </pic:blipFill>
                  <pic:spPr>
                    <a:xfrm>
                      <a:off x="0" y="0"/>
                      <a:ext cx="5274310" cy="4489450"/>
                    </a:xfrm>
                    <a:prstGeom prst="rect">
                      <a:avLst/>
                    </a:prstGeom>
                  </pic:spPr>
                </pic:pic>
              </a:graphicData>
            </a:graphic>
          </wp:inline>
        </w:drawing>
      </w:r>
    </w:p>
    <w:p w14:paraId="2D3C5596">
      <w:pPr>
        <w:adjustRightInd w:val="0"/>
        <w:snapToGrid w:val="0"/>
        <w:spacing w:after="0" w:line="360" w:lineRule="auto"/>
        <w:jc w:val="both"/>
        <w:rPr>
          <w:rFonts w:ascii="Times New Roman" w:hAnsi="Times New Roman" w:eastAsia="宋体"/>
          <w:sz w:val="21"/>
          <w:szCs w:val="21"/>
        </w:rPr>
      </w:pPr>
      <w:r>
        <w:rPr>
          <w:rFonts w:hint="eastAsia" w:ascii="Times New Roman" w:hAnsi="Times New Roman" w:eastAsia="宋体"/>
          <w:b/>
          <w:bCs/>
          <w:sz w:val="21"/>
          <w:szCs w:val="21"/>
        </w:rPr>
        <w:t>Fig.4.</w:t>
      </w:r>
      <w:r>
        <w:rPr>
          <w:rFonts w:hint="eastAsia" w:ascii="Times New Roman" w:hAnsi="Times New Roman" w:eastAsia="宋体"/>
          <w:sz w:val="21"/>
          <w:szCs w:val="21"/>
        </w:rPr>
        <w:t xml:space="preserve"> Weighted gene co-expression network analysis of the transcriptome of Leydig cells at different groups. A. Clustering dendrogram of genes, with dissimilarity based on </w:t>
      </w:r>
      <w:r>
        <w:rPr>
          <w:rFonts w:ascii="Times New Roman" w:hAnsi="Times New Roman" w:eastAsia="宋体"/>
          <w:sz w:val="21"/>
          <w:szCs w:val="21"/>
        </w:rPr>
        <w:t>topological overlap</w:t>
      </w:r>
      <w:r>
        <w:rPr>
          <w:rFonts w:hint="eastAsia" w:ascii="Times New Roman" w:hAnsi="Times New Roman" w:eastAsia="宋体"/>
          <w:sz w:val="21"/>
          <w:szCs w:val="21"/>
        </w:rPr>
        <w:t xml:space="preserve">, together with assigned merged module colors and the original </w:t>
      </w:r>
      <w:r>
        <w:rPr>
          <w:rFonts w:ascii="Times New Roman" w:hAnsi="Times New Roman" w:eastAsia="宋体"/>
          <w:sz w:val="21"/>
          <w:szCs w:val="21"/>
        </w:rPr>
        <w:t>module colors</w:t>
      </w:r>
      <w:r>
        <w:rPr>
          <w:rFonts w:hint="eastAsia" w:ascii="Times New Roman" w:hAnsi="Times New Roman" w:eastAsia="宋体"/>
          <w:sz w:val="21"/>
          <w:szCs w:val="21"/>
        </w:rPr>
        <w:t>. Dynamic Module corresponds to the height above. Merged Module is a module that combines closely clustered genes together. B. Correlation heatmap of gene networks. Light colors indicate low overlap, progressive deep red colors indicate high overlap, and dark blocks on the diagonal are modules. The gene tree diagram and module allocation are also displayed on the left and top. C. Module-trait associations. Each row corresponds to a module eigengene, column to a group. Each cell contains the corresponding correlation and p-value. The table is color-coded by correlation according to the color legend.</w:t>
      </w:r>
    </w:p>
    <w:p w14:paraId="68C00B8D">
      <w:pPr>
        <w:adjustRightInd w:val="0"/>
        <w:snapToGrid w:val="0"/>
        <w:spacing w:after="0" w:line="360" w:lineRule="auto"/>
        <w:jc w:val="both"/>
        <w:rPr>
          <w:rFonts w:ascii="Times New Roman" w:hAnsi="Times New Roman" w:eastAsia="宋体"/>
          <w:sz w:val="24"/>
        </w:rPr>
      </w:pPr>
      <w:r>
        <w:rPr>
          <w:rFonts w:hint="eastAsia" w:ascii="Times New Roman" w:hAnsi="Times New Roman" w:eastAsia="宋体"/>
          <w:sz w:val="24"/>
        </w:rPr>
        <w:drawing>
          <wp:inline distT="0" distB="0" distL="0" distR="0">
            <wp:extent cx="5274310" cy="6707505"/>
            <wp:effectExtent l="0" t="0" r="2540" b="0"/>
            <wp:docPr id="73092710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927106" name="图片 3"/>
                    <pic:cNvPicPr>
                      <a:picLocks noChangeAspect="1"/>
                    </pic:cNvPicPr>
                  </pic:nvPicPr>
                  <pic:blipFill>
                    <a:blip r:embed="rId10"/>
                    <a:stretch>
                      <a:fillRect/>
                    </a:stretch>
                  </pic:blipFill>
                  <pic:spPr>
                    <a:xfrm>
                      <a:off x="0" y="0"/>
                      <a:ext cx="5274310" cy="6707505"/>
                    </a:xfrm>
                    <a:prstGeom prst="rect">
                      <a:avLst/>
                    </a:prstGeom>
                  </pic:spPr>
                </pic:pic>
              </a:graphicData>
            </a:graphic>
          </wp:inline>
        </w:drawing>
      </w:r>
    </w:p>
    <w:p w14:paraId="2A880E85">
      <w:pPr>
        <w:adjustRightInd w:val="0"/>
        <w:snapToGrid w:val="0"/>
        <w:spacing w:after="0" w:line="360" w:lineRule="auto"/>
        <w:jc w:val="both"/>
        <w:rPr>
          <w:rFonts w:ascii="Times New Roman" w:hAnsi="Times New Roman" w:eastAsia="宋体"/>
          <w:sz w:val="21"/>
          <w:szCs w:val="21"/>
        </w:rPr>
      </w:pPr>
      <w:r>
        <w:rPr>
          <w:rFonts w:hint="eastAsia" w:ascii="Times New Roman" w:hAnsi="Times New Roman" w:eastAsia="宋体"/>
          <w:b/>
          <w:bCs/>
          <w:sz w:val="21"/>
          <w:szCs w:val="21"/>
        </w:rPr>
        <w:t>Fig.5.</w:t>
      </w:r>
      <w:r>
        <w:rPr>
          <w:rFonts w:hint="eastAsia" w:ascii="Times New Roman" w:hAnsi="Times New Roman" w:eastAsia="宋体"/>
          <w:sz w:val="21"/>
          <w:szCs w:val="21"/>
        </w:rPr>
        <w:t xml:space="preserve"> Functional analysis of differentially expressed proteins in all comparison groups. A, D. Bar chart of InterPro (IPR) domain annotations for differentially expressed proteins. The X-axis shows the proportion of DEPs for each IPR entry, the Y-axis displays the IPR entry name and its corresponding DEP count, and on the right side indicates functional categories. B, E. GO enrichment analysis circle plot. The four concentric rings represent, from outer to inner: enriched functional categories; the number of categories together with their P-values; bar plots showing the proportions of up-regulated (light pink) and down-regulated (light blue) genes and the total number of foreground genes in each category; and the </w:t>
      </w:r>
      <w:r>
        <w:rPr>
          <w:rFonts w:ascii="Times New Roman" w:hAnsi="Times New Roman" w:eastAsia="宋体"/>
          <w:sz w:val="21"/>
          <w:szCs w:val="21"/>
        </w:rPr>
        <w:t>Rich Factor</w:t>
      </w:r>
      <w:r>
        <w:rPr>
          <w:rFonts w:hint="eastAsia" w:ascii="Times New Roman" w:hAnsi="Times New Roman" w:eastAsia="宋体"/>
          <w:sz w:val="21"/>
          <w:szCs w:val="21"/>
        </w:rPr>
        <w:t xml:space="preserve"> for each category. C.F. KEGG analysis bar chart.</w:t>
      </w:r>
      <w:r>
        <w:rPr>
          <w:rFonts w:hint="eastAsia"/>
        </w:rPr>
        <w:t xml:space="preserve"> </w:t>
      </w:r>
      <w:r>
        <w:rPr>
          <w:rFonts w:hint="eastAsia" w:ascii="Times New Roman" w:hAnsi="Times New Roman" w:eastAsia="宋体"/>
          <w:sz w:val="21"/>
          <w:szCs w:val="21"/>
        </w:rPr>
        <w:t>The horizontal axis represents the number of differentially expressed proteins annotated with corresponding functions, while the vertical axis displays KEGG functional classification names. Red indicates up-regulated differentially expressed proteins, and blue denotes down-regulated differentially expressed proteins.</w:t>
      </w:r>
    </w:p>
    <w:p w14:paraId="6A79917E">
      <w:pPr>
        <w:adjustRightInd w:val="0"/>
        <w:snapToGrid w:val="0"/>
        <w:spacing w:after="0" w:line="360" w:lineRule="auto"/>
        <w:jc w:val="both"/>
        <w:rPr>
          <w:rFonts w:ascii="Times New Roman" w:hAnsi="Times New Roman" w:eastAsia="宋体"/>
          <w:sz w:val="24"/>
        </w:rPr>
      </w:pPr>
    </w:p>
    <w:p w14:paraId="54CF8F46">
      <w:pPr>
        <w:adjustRightInd w:val="0"/>
        <w:snapToGrid w:val="0"/>
        <w:spacing w:after="0" w:line="360" w:lineRule="auto"/>
        <w:jc w:val="both"/>
        <w:rPr>
          <w:rFonts w:ascii="Times New Roman" w:hAnsi="Times New Roman" w:eastAsia="宋体"/>
          <w:sz w:val="24"/>
        </w:rPr>
      </w:pPr>
      <w:r>
        <w:rPr>
          <w:rFonts w:ascii="Times New Roman" w:hAnsi="Times New Roman" w:eastAsia="宋体"/>
          <w:sz w:val="24"/>
        </w:rPr>
        <w:drawing>
          <wp:inline distT="0" distB="0" distL="0" distR="0">
            <wp:extent cx="5274310" cy="2461895"/>
            <wp:effectExtent l="0" t="0" r="2540" b="0"/>
            <wp:docPr id="54393342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933428" name="图片 3"/>
                    <pic:cNvPicPr>
                      <a:picLocks noChangeAspect="1"/>
                    </pic:cNvPicPr>
                  </pic:nvPicPr>
                  <pic:blipFill>
                    <a:blip r:embed="rId11"/>
                    <a:stretch>
                      <a:fillRect/>
                    </a:stretch>
                  </pic:blipFill>
                  <pic:spPr>
                    <a:xfrm>
                      <a:off x="0" y="0"/>
                      <a:ext cx="5274310" cy="2461895"/>
                    </a:xfrm>
                    <a:prstGeom prst="rect">
                      <a:avLst/>
                    </a:prstGeom>
                  </pic:spPr>
                </pic:pic>
              </a:graphicData>
            </a:graphic>
          </wp:inline>
        </w:drawing>
      </w:r>
    </w:p>
    <w:p w14:paraId="5B9434BD">
      <w:pPr>
        <w:adjustRightInd w:val="0"/>
        <w:snapToGrid w:val="0"/>
        <w:spacing w:after="0" w:line="360" w:lineRule="auto"/>
        <w:jc w:val="both"/>
      </w:pPr>
      <w:r>
        <w:rPr>
          <w:rFonts w:hint="eastAsia" w:ascii="Times New Roman" w:hAnsi="Times New Roman" w:eastAsia="宋体"/>
          <w:b/>
          <w:bCs/>
          <w:sz w:val="21"/>
          <w:szCs w:val="21"/>
        </w:rPr>
        <w:t>Fig.6.</w:t>
      </w:r>
      <w:r>
        <w:rPr>
          <w:rFonts w:hint="eastAsia" w:ascii="Times New Roman" w:hAnsi="Times New Roman" w:eastAsia="宋体"/>
          <w:sz w:val="21"/>
          <w:szCs w:val="21"/>
        </w:rPr>
        <w:t xml:space="preserve"> Correlation analysis of the transcriptomes and proteomes. A. Venn diagram of the numbers of all detected genes, DEGs, all detected proteins an</w:t>
      </w:r>
      <w:bookmarkStart w:id="2" w:name="_GoBack"/>
      <w:bookmarkEnd w:id="2"/>
      <w:r>
        <w:rPr>
          <w:rFonts w:hint="eastAsia" w:ascii="Times New Roman" w:hAnsi="Times New Roman" w:eastAsia="宋体"/>
          <w:sz w:val="21"/>
          <w:szCs w:val="21"/>
        </w:rPr>
        <w:t>d DEPs of the three groups comparison. B. Protein-protein interaction (PPI) analysis showing the relationships of the target DEGs and DEPs.</w:t>
      </w:r>
      <w:r>
        <w:rPr>
          <w:rFonts w:hint="eastAsia"/>
          <w:sz w:val="21"/>
          <w:szCs w:val="21"/>
        </w:rPr>
        <w:t xml:space="preserve"> </w:t>
      </w:r>
      <w:r>
        <w:rPr>
          <w:rFonts w:hint="eastAsia" w:ascii="Times New Roman" w:hAnsi="Times New Roman" w:eastAsia="宋体"/>
          <w:sz w:val="21"/>
          <w:szCs w:val="21"/>
        </w:rPr>
        <w:t>Red indicates up-regulated genes/proteins, and blue indicates down-regulated genes/proteins. More lines between two genes/proteins represents more possible interactions.</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7"/>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158"/>
    <w:rsid w:val="00305158"/>
    <w:rsid w:val="00A210AF"/>
    <w:rsid w:val="00A54816"/>
    <w:rsid w:val="2DB704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17"/>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3">
    <w:name w:val="heading 2"/>
    <w:basedOn w:val="1"/>
    <w:next w:val="1"/>
    <w:link w:val="18"/>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4">
    <w:name w:val="heading 3"/>
    <w:basedOn w:val="1"/>
    <w:next w:val="1"/>
    <w:link w:val="19"/>
    <w:semiHidden/>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5">
    <w:name w:val="heading 4"/>
    <w:basedOn w:val="1"/>
    <w:next w:val="1"/>
    <w:link w:val="20"/>
    <w:semiHidden/>
    <w:unhideWhenUsed/>
    <w:qFormat/>
    <w:uiPriority w:val="9"/>
    <w:pPr>
      <w:keepNext/>
      <w:keepLines/>
      <w:spacing w:before="80" w:after="40"/>
      <w:outlineLvl w:val="3"/>
    </w:pPr>
    <w:rPr>
      <w:rFonts w:cstheme="majorBidi"/>
      <w:color w:val="2F5597" w:themeColor="accent1" w:themeShade="BF"/>
      <w:sz w:val="28"/>
      <w:szCs w:val="28"/>
    </w:rPr>
  </w:style>
  <w:style w:type="paragraph" w:styleId="6">
    <w:name w:val="heading 5"/>
    <w:basedOn w:val="1"/>
    <w:next w:val="1"/>
    <w:link w:val="21"/>
    <w:semiHidden/>
    <w:unhideWhenUsed/>
    <w:qFormat/>
    <w:uiPriority w:val="9"/>
    <w:pPr>
      <w:keepNext/>
      <w:keepLines/>
      <w:spacing w:before="80" w:after="40"/>
      <w:outlineLvl w:val="4"/>
    </w:pPr>
    <w:rPr>
      <w:rFonts w:cstheme="majorBidi"/>
      <w:color w:val="2F5597" w:themeColor="accent1" w:themeShade="BF"/>
      <w:sz w:val="24"/>
    </w:rPr>
  </w:style>
  <w:style w:type="paragraph" w:styleId="7">
    <w:name w:val="heading 6"/>
    <w:basedOn w:val="1"/>
    <w:next w:val="1"/>
    <w:link w:val="22"/>
    <w:semiHidden/>
    <w:unhideWhenUsed/>
    <w:qFormat/>
    <w:uiPriority w:val="9"/>
    <w:pPr>
      <w:keepNext/>
      <w:keepLines/>
      <w:spacing w:before="40" w:after="0"/>
      <w:outlineLvl w:val="5"/>
    </w:pPr>
    <w:rPr>
      <w:rFonts w:cstheme="majorBidi"/>
      <w:b/>
      <w:bCs/>
      <w:color w:val="2F5597" w:themeColor="accent1" w:themeShade="BF"/>
    </w:rPr>
  </w:style>
  <w:style w:type="paragraph" w:styleId="8">
    <w:name w:val="heading 7"/>
    <w:basedOn w:val="1"/>
    <w:next w:val="1"/>
    <w:link w:val="23"/>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4"/>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5"/>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6">
    <w:name w:val="Default Paragraph Font"/>
    <w:semiHidden/>
    <w:unhideWhenUsed/>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11">
    <w:name w:val="footer"/>
    <w:basedOn w:val="1"/>
    <w:link w:val="36"/>
    <w:unhideWhenUsed/>
    <w:qFormat/>
    <w:uiPriority w:val="99"/>
    <w:pPr>
      <w:tabs>
        <w:tab w:val="center" w:pos="4153"/>
        <w:tab w:val="right" w:pos="8306"/>
      </w:tabs>
      <w:snapToGrid w:val="0"/>
      <w:spacing w:line="240" w:lineRule="auto"/>
    </w:pPr>
    <w:rPr>
      <w:sz w:val="18"/>
      <w:szCs w:val="18"/>
    </w:rPr>
  </w:style>
  <w:style w:type="paragraph" w:styleId="12">
    <w:name w:val="header"/>
    <w:basedOn w:val="1"/>
    <w:link w:val="35"/>
    <w:unhideWhenUsed/>
    <w:qFormat/>
    <w:uiPriority w:val="99"/>
    <w:pPr>
      <w:tabs>
        <w:tab w:val="center" w:pos="4153"/>
        <w:tab w:val="right" w:pos="8306"/>
      </w:tabs>
      <w:snapToGrid w:val="0"/>
      <w:spacing w:line="240" w:lineRule="auto"/>
      <w:jc w:val="center"/>
    </w:pPr>
    <w:rPr>
      <w:sz w:val="18"/>
      <w:szCs w:val="18"/>
    </w:rPr>
  </w:style>
  <w:style w:type="paragraph" w:styleId="13">
    <w:name w:val="Subtitle"/>
    <w:basedOn w:val="1"/>
    <w:next w:val="1"/>
    <w:link w:val="27"/>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itle"/>
    <w:basedOn w:val="1"/>
    <w:next w:val="1"/>
    <w:link w:val="26"/>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character" w:customStyle="1" w:styleId="17">
    <w:name w:val="标题 1 字符"/>
    <w:basedOn w:val="16"/>
    <w:link w:val="2"/>
    <w:qFormat/>
    <w:uiPriority w:val="9"/>
    <w:rPr>
      <w:rFonts w:asciiTheme="majorHAnsi" w:hAnsiTheme="majorHAnsi" w:eastAsiaTheme="majorEastAsia" w:cstheme="majorBidi"/>
      <w:color w:val="2F5597" w:themeColor="accent1" w:themeShade="BF"/>
      <w:sz w:val="48"/>
      <w:szCs w:val="48"/>
    </w:rPr>
  </w:style>
  <w:style w:type="character" w:customStyle="1" w:styleId="18">
    <w:name w:val="标题 2 字符"/>
    <w:basedOn w:val="16"/>
    <w:link w:val="3"/>
    <w:semiHidden/>
    <w:qFormat/>
    <w:uiPriority w:val="9"/>
    <w:rPr>
      <w:rFonts w:asciiTheme="majorHAnsi" w:hAnsiTheme="majorHAnsi" w:eastAsiaTheme="majorEastAsia" w:cstheme="majorBidi"/>
      <w:color w:val="2F5597" w:themeColor="accent1" w:themeShade="BF"/>
      <w:sz w:val="40"/>
      <w:szCs w:val="40"/>
    </w:rPr>
  </w:style>
  <w:style w:type="character" w:customStyle="1" w:styleId="19">
    <w:name w:val="标题 3 字符"/>
    <w:basedOn w:val="16"/>
    <w:link w:val="4"/>
    <w:semiHidden/>
    <w:qFormat/>
    <w:uiPriority w:val="9"/>
    <w:rPr>
      <w:rFonts w:asciiTheme="majorHAnsi" w:hAnsiTheme="majorHAnsi" w:eastAsiaTheme="majorEastAsia" w:cstheme="majorBidi"/>
      <w:color w:val="2F5597" w:themeColor="accent1" w:themeShade="BF"/>
      <w:sz w:val="32"/>
      <w:szCs w:val="32"/>
    </w:rPr>
  </w:style>
  <w:style w:type="character" w:customStyle="1" w:styleId="20">
    <w:name w:val="标题 4 字符"/>
    <w:basedOn w:val="16"/>
    <w:link w:val="5"/>
    <w:semiHidden/>
    <w:qFormat/>
    <w:uiPriority w:val="9"/>
    <w:rPr>
      <w:rFonts w:cstheme="majorBidi"/>
      <w:color w:val="2F5597" w:themeColor="accent1" w:themeShade="BF"/>
      <w:sz w:val="28"/>
      <w:szCs w:val="28"/>
    </w:rPr>
  </w:style>
  <w:style w:type="character" w:customStyle="1" w:styleId="21">
    <w:name w:val="标题 5 字符"/>
    <w:basedOn w:val="16"/>
    <w:link w:val="6"/>
    <w:semiHidden/>
    <w:qFormat/>
    <w:uiPriority w:val="9"/>
    <w:rPr>
      <w:rFonts w:cstheme="majorBidi"/>
      <w:color w:val="2F5597" w:themeColor="accent1" w:themeShade="BF"/>
      <w:sz w:val="24"/>
    </w:rPr>
  </w:style>
  <w:style w:type="character" w:customStyle="1" w:styleId="22">
    <w:name w:val="标题 6 字符"/>
    <w:basedOn w:val="16"/>
    <w:link w:val="7"/>
    <w:semiHidden/>
    <w:uiPriority w:val="9"/>
    <w:rPr>
      <w:rFonts w:cstheme="majorBidi"/>
      <w:b/>
      <w:bCs/>
      <w:color w:val="2F5597" w:themeColor="accent1" w:themeShade="BF"/>
    </w:rPr>
  </w:style>
  <w:style w:type="character" w:customStyle="1" w:styleId="23">
    <w:name w:val="标题 7 字符"/>
    <w:basedOn w:val="16"/>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4">
    <w:name w:val="标题 8 字符"/>
    <w:basedOn w:val="16"/>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5">
    <w:name w:val="标题 9 字符"/>
    <w:basedOn w:val="16"/>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标题 字符"/>
    <w:basedOn w:val="16"/>
    <w:link w:val="14"/>
    <w:qFormat/>
    <w:uiPriority w:val="10"/>
    <w:rPr>
      <w:rFonts w:asciiTheme="majorHAnsi" w:hAnsiTheme="majorHAnsi" w:eastAsiaTheme="majorEastAsia" w:cstheme="majorBidi"/>
      <w:spacing w:val="-10"/>
      <w:kern w:val="28"/>
      <w:sz w:val="56"/>
      <w:szCs w:val="56"/>
    </w:rPr>
  </w:style>
  <w:style w:type="character" w:customStyle="1" w:styleId="27">
    <w:name w:val="副标题 字符"/>
    <w:basedOn w:val="16"/>
    <w:link w:val="13"/>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9">
    <w:name w:val="引用 字符"/>
    <w:basedOn w:val="16"/>
    <w:link w:val="28"/>
    <w:qFormat/>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ind w:left="720"/>
      <w:contextualSpacing/>
    </w:pPr>
  </w:style>
  <w:style w:type="character" w:customStyle="1" w:styleId="31">
    <w:name w:val="Intense Emphasis"/>
    <w:basedOn w:val="16"/>
    <w:qFormat/>
    <w:uiPriority w:val="21"/>
    <w:rPr>
      <w:i/>
      <w:iCs/>
      <w:color w:val="2F5597" w:themeColor="accent1" w:themeShade="BF"/>
    </w:rPr>
  </w:style>
  <w:style w:type="paragraph" w:styleId="32">
    <w:name w:val="Intense Quote"/>
    <w:basedOn w:val="1"/>
    <w:next w:val="1"/>
    <w:link w:val="33"/>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3">
    <w:name w:val="明显引用 字符"/>
    <w:basedOn w:val="16"/>
    <w:link w:val="32"/>
    <w:qFormat/>
    <w:uiPriority w:val="30"/>
    <w:rPr>
      <w:i/>
      <w:iCs/>
      <w:color w:val="2F5597" w:themeColor="accent1" w:themeShade="BF"/>
    </w:rPr>
  </w:style>
  <w:style w:type="character" w:customStyle="1" w:styleId="34">
    <w:name w:val="Intense Reference"/>
    <w:basedOn w:val="16"/>
    <w:qFormat/>
    <w:uiPriority w:val="32"/>
    <w:rPr>
      <w:b/>
      <w:bCs/>
      <w:smallCaps/>
      <w:color w:val="2F5597" w:themeColor="accent1" w:themeShade="BF"/>
      <w:spacing w:val="5"/>
    </w:rPr>
  </w:style>
  <w:style w:type="character" w:customStyle="1" w:styleId="35">
    <w:name w:val="页眉 字符"/>
    <w:basedOn w:val="16"/>
    <w:link w:val="12"/>
    <w:qFormat/>
    <w:uiPriority w:val="99"/>
    <w:rPr>
      <w:sz w:val="18"/>
      <w:szCs w:val="18"/>
    </w:rPr>
  </w:style>
  <w:style w:type="character" w:customStyle="1" w:styleId="36">
    <w:name w:val="页脚 字符"/>
    <w:basedOn w:val="16"/>
    <w:link w:val="11"/>
    <w:qFormat/>
    <w:uiPriority w:val="99"/>
    <w:rPr>
      <w:sz w:val="18"/>
      <w:szCs w:val="18"/>
    </w:rPr>
  </w:style>
  <w:style w:type="paragraph" w:customStyle="1" w:styleId="37">
    <w:name w:val="EndNote Bibliography Title"/>
    <w:basedOn w:val="1"/>
    <w:link w:val="38"/>
    <w:qFormat/>
    <w:uiPriority w:val="0"/>
    <w:pPr>
      <w:spacing w:after="0"/>
      <w:jc w:val="center"/>
    </w:pPr>
    <w:rPr>
      <w:rFonts w:ascii="等线" w:hAnsi="等线" w:eastAsia="等线"/>
    </w:rPr>
  </w:style>
  <w:style w:type="character" w:customStyle="1" w:styleId="38">
    <w:name w:val="EndNote Bibliography Title 字符"/>
    <w:basedOn w:val="16"/>
    <w:link w:val="37"/>
    <w:uiPriority w:val="0"/>
    <w:rPr>
      <w:rFonts w:ascii="等线" w:hAnsi="等线" w:eastAsia="等线"/>
    </w:rPr>
  </w:style>
  <w:style w:type="paragraph" w:customStyle="1" w:styleId="39">
    <w:name w:val="EndNote Bibliography"/>
    <w:basedOn w:val="1"/>
    <w:link w:val="40"/>
    <w:qFormat/>
    <w:uiPriority w:val="0"/>
    <w:pPr>
      <w:spacing w:line="240" w:lineRule="auto"/>
      <w:jc w:val="both"/>
    </w:pPr>
    <w:rPr>
      <w:rFonts w:ascii="等线" w:hAnsi="等线" w:eastAsia="等线"/>
    </w:rPr>
  </w:style>
  <w:style w:type="character" w:customStyle="1" w:styleId="40">
    <w:name w:val="EndNote Bibliography 字符"/>
    <w:basedOn w:val="16"/>
    <w:link w:val="39"/>
    <w:qFormat/>
    <w:uiPriority w:val="0"/>
    <w:rPr>
      <w:rFonts w:ascii="等线" w:hAnsi="等线" w:eastAsia="等线"/>
    </w:rPr>
  </w:style>
</w:styles>
</file>

<file path=word/_rels/document.xml.rels><?xml version="1.0" encoding="UTF-8" standalone="yes"?>
<Relationships xmlns="http://schemas.openxmlformats.org/package/2006/relationships"><Relationship Id="rId9" Type="http://schemas.openxmlformats.org/officeDocument/2006/relationships/image" Target="media/image4.tiff"/><Relationship Id="rId8" Type="http://schemas.openxmlformats.org/officeDocument/2006/relationships/image" Target="media/image3.tiff"/><Relationship Id="rId7" Type="http://schemas.openxmlformats.org/officeDocument/2006/relationships/image" Target="media/image2.tiff"/><Relationship Id="rId6" Type="http://schemas.openxmlformats.org/officeDocument/2006/relationships/image" Target="media/image1.tiff"/><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image" Target="media/image6.tiff"/><Relationship Id="rId10" Type="http://schemas.openxmlformats.org/officeDocument/2006/relationships/image" Target="media/image5.tif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4689</Words>
  <Characters>28529</Characters>
  <Lines>788</Lines>
  <Paragraphs>94</Paragraphs>
  <TotalTime>10</TotalTime>
  <ScaleCrop>false</ScaleCrop>
  <LinksUpToDate>false</LinksUpToDate>
  <CharactersWithSpaces>33166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2026-04-22T07:33:00Z</dcterms:created>
  <dc:creator>Yi Wu</dc:creator>
  <cp:lastModifiedBy>李旭杰</cp:lastModifiedBy>
  <dcterms:modified xsi:type="dcterms:W3CDTF">2026-05-29T13:24:59Z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eyJoZGlkIjoiNGVhZTk0MWRkY2RkNjAzNGY2ZThkMGRkYTY5Y2FhZTciLCJ1c2VySWQiOiIxMTQyNTU2NjQzIn0=</vt:lpwstr>
  </property>
  <property fmtid="{D5CDD505-2E9C-101B-9397-08002B2CF9AE}" pid="3" name="KSOProductBuildVer">
    <vt:lpwstr>2052-12.1.0.26375</vt:lpwstr>
  </property>
  <property fmtid="{D5CDD505-2E9C-101B-9397-08002B2CF9AE}" pid="4" name="ICV">
    <vt:lpwstr>658DF3C716C44925AF7026410AD5BBD0_13</vt:lpwstr>
  </property>
</Properties>
</file>